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20"/>
      </w:pPr>
      <w:r>
        <w:rPr>
          <w:b/>
          <w:color w:val="1A3C5E"/>
          <w:sz w:val="32"/>
        </w:rPr>
        <w:t>IDP LIMITED — REGULATORY UPDATE NOTE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BF3FB" w:val="clear"/>
          </w:tcPr>
          <w:p>
            <w:r/>
            <w:r>
              <w:rPr>
                <w:i/>
                <w:color w:val="1A3C5E"/>
                <w:sz w:val="20"/>
              </w:rPr>
              <w:t>Circular: MCA General Circular No. 09/2025 — Mandatory CSR Reporting on MCA21 Portal</w:t>
              <w:br/>
              <w:t>Date of Circular: 12 September 2025  |  Note Prepared: 18 September 2025  |  Prepared by: Compliance Team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A. Executive Summary (3 Points)</w:t>
      </w:r>
    </w:p>
    <w:p>
      <w:pPr>
        <w:pStyle w:val="ListBullet"/>
        <w:spacing w:after="60"/>
      </w:pPr>
      <w:r>
        <w:rPr>
          <w:b/>
          <w:sz w:val="22"/>
        </w:rPr>
        <w:t>What changed: MCA has mandated that all companies meeting CSR threshold (net worth &gt;Rs 500 Cr OR turnover &gt;Rs 1,000 Cr OR net profit &gt;Rs 5 Cr) must file their annual CSR Report directly on the MCA21 portal using the newly activated Form CSR-2 from FY2024-25 onwards.</w:t>
      </w:r>
    </w:p>
    <w:p>
      <w:pPr>
        <w:pStyle w:val="ListBullet"/>
        <w:spacing w:after="60"/>
      </w:pPr>
      <w:r>
        <w:rPr>
          <w:b/>
          <w:sz w:val="22"/>
        </w:rPr>
        <w:t>Who is affected: IDP Limited qualifies (turnover &gt;Rs 1,000 Cr). This is a new mandatory e-filing requirement — previously CSR reporting was only in the Annual Report.</w:t>
      </w:r>
    </w:p>
    <w:p>
      <w:pPr>
        <w:pStyle w:val="ListBullet"/>
        <w:spacing w:after="60"/>
      </w:pPr>
      <w:r>
        <w:rPr>
          <w:b/>
          <w:sz w:val="22"/>
        </w:rPr>
        <w:t>Deadline: Form CSR-2 for FY2024-25 must be filed within 60 days of Annual General Meeting (AGM). Our AGM is scheduled for 28 September 2025 — filing deadline: 27 November 2025.</w:t>
      </w:r>
    </w:p>
    <w:p>
      <w:pPr>
        <w:spacing w:before="200" w:after="80"/>
      </w:pPr>
      <w:r>
        <w:rPr>
          <w:b/>
          <w:color w:val="2B7CB8"/>
          <w:sz w:val="26"/>
        </w:rPr>
        <w:t>B. Action List for Finance &amp; Compliance Teams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432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#</w:t>
            </w:r>
          </w:p>
        </w:tc>
        <w:tc>
          <w:tcPr>
            <w:tcW w:type="dxa" w:w="504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Action</w:t>
            </w:r>
          </w:p>
        </w:tc>
        <w:tc>
          <w:tcPr>
            <w:tcW w:type="dxa" w:w="216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Owner</w:t>
            </w:r>
          </w:p>
        </w:tc>
        <w:tc>
          <w:tcPr>
            <w:tcW w:type="dxa" w:w="172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Deadline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1</w:t>
            </w:r>
          </w:p>
        </w:tc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Download and review updated Form CSR-2 format on MCA21 portal</w:t>
            </w:r>
          </w:p>
        </w:tc>
        <w:tc>
          <w:tcPr>
            <w:tcW w:type="dxa" w:w="2160"/>
            <w:shd w:fill="F5F7FA" w:val="clear"/>
          </w:tcPr>
          <w:p>
            <w:r/>
            <w:r>
              <w:rPr>
                <w:sz w:val="20"/>
              </w:rPr>
              <w:t>Company Secretary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25-Sep-25</w:t>
            </w:r>
          </w:p>
        </w:tc>
      </w:tr>
      <w:tr>
        <w:tc>
          <w:tcPr>
            <w:tcW w:type="dxa" w:w="432"/>
            <w:shd w:fill="FFFFFF" w:val="clear"/>
          </w:tcPr>
          <w:p>
            <w:r/>
            <w:r>
              <w:rPr>
                <w:sz w:val="20"/>
              </w:rPr>
              <w:t>2</w:t>
            </w:r>
          </w:p>
        </w:tc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Compile FY2024-25 CSR spend data: amount mandated, amount spent, unspent (if any)</w:t>
            </w:r>
          </w:p>
        </w:tc>
        <w:tc>
          <w:tcPr>
            <w:tcW w:type="dxa" w:w="2160"/>
            <w:shd w:fill="FFFFFF" w:val="clear"/>
          </w:tcPr>
          <w:p>
            <w:r/>
            <w:r>
              <w:rPr>
                <w:sz w:val="20"/>
              </w:rPr>
              <w:t>Finance Manager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30-Sep-25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3</w:t>
            </w:r>
          </w:p>
        </w:tc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Confirm CSR Committee composition and meeting dates for FY24-25</w:t>
            </w:r>
          </w:p>
        </w:tc>
        <w:tc>
          <w:tcPr>
            <w:tcW w:type="dxa" w:w="2160"/>
            <w:shd w:fill="F5F7FA" w:val="clear"/>
          </w:tcPr>
          <w:p>
            <w:r/>
            <w:r>
              <w:rPr>
                <w:sz w:val="20"/>
              </w:rPr>
              <w:t>CS / HR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30-Sep-25</w:t>
            </w:r>
          </w:p>
        </w:tc>
      </w:tr>
      <w:tr>
        <w:tc>
          <w:tcPr>
            <w:tcW w:type="dxa" w:w="432"/>
            <w:shd w:fill="FFFFFF" w:val="clear"/>
          </w:tcPr>
          <w:p>
            <w:r/>
            <w:r>
              <w:rPr>
                <w:sz w:val="20"/>
              </w:rPr>
              <w:t>4</w:t>
            </w:r>
          </w:p>
        </w:tc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Obtain CSR implementing agency certification if funds transferred to Section 8 entity</w:t>
            </w:r>
          </w:p>
        </w:tc>
        <w:tc>
          <w:tcPr>
            <w:tcW w:type="dxa" w:w="2160"/>
            <w:shd w:fill="FFFFFF" w:val="clear"/>
          </w:tcPr>
          <w:p>
            <w:r/>
            <w:r>
              <w:rPr>
                <w:sz w:val="20"/>
              </w:rPr>
              <w:t>Finance / Compliance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10-Oct-25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5</w:t>
            </w:r>
          </w:p>
        </w:tc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Prepare draft CSR-2 form and route for internal review by CFO and MD</w:t>
            </w:r>
          </w:p>
        </w:tc>
        <w:tc>
          <w:tcPr>
            <w:tcW w:type="dxa" w:w="2160"/>
            <w:shd w:fill="F5F7FA" w:val="clear"/>
          </w:tcPr>
          <w:p>
            <w:r/>
            <w:r>
              <w:rPr>
                <w:sz w:val="20"/>
              </w:rPr>
              <w:t>CS / Finance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01-Nov-25</w:t>
            </w:r>
          </w:p>
        </w:tc>
      </w:tr>
      <w:tr>
        <w:tc>
          <w:tcPr>
            <w:tcW w:type="dxa" w:w="432"/>
            <w:shd w:fill="FFFFFF" w:val="clear"/>
          </w:tcPr>
          <w:p>
            <w:r/>
            <w:r>
              <w:rPr>
                <w:sz w:val="20"/>
              </w:rPr>
              <w:t>6</w:t>
            </w:r>
          </w:p>
        </w:tc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File Form CSR-2 on MCA21 portal and retain acknowledgement</w:t>
            </w:r>
          </w:p>
        </w:tc>
        <w:tc>
          <w:tcPr>
            <w:tcW w:type="dxa" w:w="2160"/>
            <w:shd w:fill="FFFFFF" w:val="clear"/>
          </w:tcPr>
          <w:p>
            <w:r/>
            <w:r>
              <w:rPr>
                <w:sz w:val="20"/>
              </w:rPr>
              <w:t>Company Secretary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27-Nov-25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C. Board Note</w:t>
      </w:r>
    </w:p>
    <w:p>
      <w:pPr>
        <w:spacing w:before="0" w:after="100"/>
      </w:pPr>
      <w:r>
        <w:rPr>
          <w:b w:val="0"/>
          <w:i w:val="0"/>
          <w:color w:val="333333"/>
          <w:sz w:val="22"/>
        </w:rPr>
        <w:t>The Ministry of Corporate Affairs has issued General Circular No. 09/2025 mandating direct e-filing of CSR reports on the MCA21 portal via Form CSR-2 with effect from FY2024-25. IDP Limited, meeting the prescribed thresholds, is required to comply. The Company Secretary and Finance team are coordinating the filing. Key deadline: 27 November 2025. Non-compliance may attract penalty under Section 135(7) of the Companies Act 2013 (amount equal to the unspent CSR amount or Rs 50 lakhs, whichever is less, for the company; up to Rs 1 lakh for each defaulting officer). No regulatory action is anticipated as the Company has been compliant with its CSR obligations.</w:t>
      </w:r>
    </w:p>
    <w:sectPr w:rsidR="00FC693F" w:rsidRPr="0006063C" w:rsidSect="00034616">
      <w:pgSz w:w="12240" w:h="15840"/>
      <w:pgMar w:top="1440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